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422FD" w14:textId="03AB7D3A" w:rsidR="00A95621" w:rsidRPr="00AD3EB6" w:rsidRDefault="007273BA" w:rsidP="00AD3EB6">
      <w:pPr>
        <w:pStyle w:val="Style"/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AD3EB6">
        <w:rPr>
          <w:rFonts w:asciiTheme="minorHAnsi" w:hAnsiTheme="minorHAnsi" w:cstheme="minorHAnsi"/>
          <w:noProof/>
        </w:rPr>
        <w:drawing>
          <wp:inline distT="0" distB="0" distL="0" distR="0" wp14:anchorId="1D2A5288" wp14:editId="1C36F6EC">
            <wp:extent cx="1219200" cy="1620917"/>
            <wp:effectExtent l="0" t="0" r="0" b="0"/>
            <wp:docPr id="1" name="Picture 1" descr="A picture containing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ebsit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255" cy="1640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FC41A" w14:textId="09B68581" w:rsidR="007273BA" w:rsidRPr="00AD3EB6" w:rsidRDefault="007273BA" w:rsidP="00BC6807">
      <w:pPr>
        <w:pStyle w:val="Style"/>
        <w:jc w:val="center"/>
        <w:rPr>
          <w:rFonts w:asciiTheme="minorHAnsi" w:hAnsiTheme="minorHAnsi" w:cstheme="minorHAnsi"/>
          <w:b/>
          <w:bCs/>
        </w:rPr>
      </w:pPr>
      <w:r w:rsidRPr="00AD3EB6">
        <w:rPr>
          <w:rFonts w:asciiTheme="minorHAnsi" w:hAnsiTheme="minorHAnsi" w:cstheme="minorHAnsi"/>
          <w:b/>
          <w:bCs/>
        </w:rPr>
        <w:t>HEYBRIDGE BASIN PARISH COUNCIL</w:t>
      </w:r>
    </w:p>
    <w:p w14:paraId="3C7F2FF5" w14:textId="2090682F" w:rsidR="00A95621" w:rsidRPr="00AD3EB6" w:rsidRDefault="006E24C4" w:rsidP="00BC6807">
      <w:pPr>
        <w:pStyle w:val="Style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D3EB6">
        <w:rPr>
          <w:rFonts w:asciiTheme="minorHAnsi" w:hAnsiTheme="minorHAnsi" w:cstheme="minorHAnsi"/>
          <w:b/>
          <w:bCs/>
          <w:sz w:val="28"/>
          <w:szCs w:val="28"/>
          <w:u w:val="single"/>
        </w:rPr>
        <w:t>Investment Policy</w:t>
      </w:r>
    </w:p>
    <w:p w14:paraId="29CA916F" w14:textId="77777777" w:rsidR="006E24C4" w:rsidRPr="00AD3EB6" w:rsidRDefault="006E24C4" w:rsidP="00BC6807">
      <w:pPr>
        <w:pStyle w:val="Style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EC8FEC5" w14:textId="56DCFEDF" w:rsidR="006E24C4" w:rsidRPr="00AD3EB6" w:rsidRDefault="006E24C4" w:rsidP="006E24C4">
      <w:pPr>
        <w:pStyle w:val="Style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D3EB6">
        <w:rPr>
          <w:rFonts w:asciiTheme="minorHAnsi" w:hAnsiTheme="minorHAnsi" w:cstheme="minorHAnsi"/>
          <w:b/>
          <w:bCs/>
          <w:sz w:val="28"/>
          <w:szCs w:val="28"/>
          <w:u w:val="single"/>
        </w:rPr>
        <w:t>Introduction</w:t>
      </w:r>
    </w:p>
    <w:p w14:paraId="7825CC07" w14:textId="77777777" w:rsidR="003A456F" w:rsidRPr="00AD3EB6" w:rsidRDefault="003A456F" w:rsidP="006E24C4">
      <w:pPr>
        <w:pStyle w:val="Style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6BEC60F" w14:textId="2CA24EA2" w:rsidR="006E24C4" w:rsidRDefault="006E24C4" w:rsidP="00AD3EB6">
      <w:pPr>
        <w:pStyle w:val="Style"/>
        <w:numPr>
          <w:ilvl w:val="1"/>
          <w:numId w:val="14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AD3EB6">
        <w:rPr>
          <w:rFonts w:asciiTheme="minorHAnsi" w:hAnsiTheme="minorHAnsi" w:cstheme="minorHAnsi"/>
          <w:sz w:val="22"/>
          <w:szCs w:val="22"/>
        </w:rPr>
        <w:t xml:space="preserve">As part of its fiduciary duty, Heybridge Basin Parish Council (the Council) acknowledges the importance of prudently saving and investing any temporary surplus funds held on behalf of the community. </w:t>
      </w:r>
    </w:p>
    <w:p w14:paraId="66AE14BE" w14:textId="77777777" w:rsidR="00AD3EB6" w:rsidRPr="00AD3EB6" w:rsidRDefault="00AD3EB6" w:rsidP="00AD3EB6">
      <w:pPr>
        <w:pStyle w:val="Style"/>
        <w:ind w:left="360"/>
        <w:rPr>
          <w:rFonts w:asciiTheme="minorHAnsi" w:hAnsiTheme="minorHAnsi" w:cstheme="minorHAnsi"/>
          <w:sz w:val="22"/>
          <w:szCs w:val="22"/>
        </w:rPr>
      </w:pPr>
    </w:p>
    <w:p w14:paraId="1D2A62F8" w14:textId="4D832608" w:rsidR="006E24C4" w:rsidRDefault="006E24C4" w:rsidP="00AD3EB6">
      <w:pPr>
        <w:pStyle w:val="Style"/>
        <w:numPr>
          <w:ilvl w:val="1"/>
          <w:numId w:val="14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AD3EB6">
        <w:rPr>
          <w:rFonts w:asciiTheme="minorHAnsi" w:hAnsiTheme="minorHAnsi" w:cstheme="minorHAnsi"/>
          <w:sz w:val="22"/>
          <w:szCs w:val="22"/>
        </w:rPr>
        <w:t xml:space="preserve">This policy complies with the revised requirements set out in the Department of Communities and Local Government Guidance on Local Government Investments and </w:t>
      </w:r>
      <w:proofErr w:type="gramStart"/>
      <w:r w:rsidRPr="00AD3EB6">
        <w:rPr>
          <w:rFonts w:asciiTheme="minorHAnsi" w:hAnsiTheme="minorHAnsi" w:cstheme="minorHAnsi"/>
          <w:sz w:val="22"/>
          <w:szCs w:val="22"/>
        </w:rPr>
        <w:t>takes into account</w:t>
      </w:r>
      <w:proofErr w:type="gramEnd"/>
      <w:r w:rsidRPr="00AD3EB6">
        <w:rPr>
          <w:rFonts w:asciiTheme="minorHAnsi" w:hAnsiTheme="minorHAnsi" w:cstheme="minorHAnsi"/>
          <w:sz w:val="22"/>
          <w:szCs w:val="22"/>
        </w:rPr>
        <w:t xml:space="preserve"> Section 15(1)(a) of the Local Government Act 2003 and guidance within the Governance and Accountability for Local Councils Practitioners’ Guide 202</w:t>
      </w:r>
      <w:r w:rsidR="00AD3EB6" w:rsidRPr="00AD3EB6">
        <w:rPr>
          <w:rFonts w:asciiTheme="minorHAnsi" w:hAnsiTheme="minorHAnsi" w:cstheme="minorHAnsi"/>
          <w:sz w:val="22"/>
          <w:szCs w:val="22"/>
        </w:rPr>
        <w:t>4</w:t>
      </w:r>
      <w:r w:rsidRPr="00AD3EB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E4F459C" w14:textId="77777777" w:rsidR="00AD3EB6" w:rsidRPr="00AD3EB6" w:rsidRDefault="00AD3EB6" w:rsidP="00AD3EB6">
      <w:pPr>
        <w:pStyle w:val="Style"/>
        <w:rPr>
          <w:rFonts w:asciiTheme="minorHAnsi" w:hAnsiTheme="minorHAnsi" w:cstheme="minorHAnsi"/>
          <w:sz w:val="22"/>
          <w:szCs w:val="22"/>
        </w:rPr>
      </w:pPr>
    </w:p>
    <w:p w14:paraId="50A649AD" w14:textId="47CDA4F3" w:rsidR="006E24C4" w:rsidRPr="00AD3EB6" w:rsidRDefault="006E24C4" w:rsidP="00AD3EB6">
      <w:pPr>
        <w:pStyle w:val="Style"/>
        <w:numPr>
          <w:ilvl w:val="1"/>
          <w:numId w:val="14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AD3EB6">
        <w:rPr>
          <w:rFonts w:asciiTheme="minorHAnsi" w:hAnsiTheme="minorHAnsi" w:cstheme="minorHAnsi"/>
          <w:sz w:val="22"/>
          <w:szCs w:val="22"/>
        </w:rPr>
        <w:t xml:space="preserve">Parish Councils have the power to invest surplus funds and the Local Government Act 2003 states that a local authority may invest: </w:t>
      </w:r>
    </w:p>
    <w:p w14:paraId="459CE18D" w14:textId="20086265" w:rsidR="006E24C4" w:rsidRPr="00AD3EB6" w:rsidRDefault="006E24C4" w:rsidP="00AD3EB6">
      <w:pPr>
        <w:pStyle w:val="Style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AD3EB6">
        <w:rPr>
          <w:rFonts w:asciiTheme="minorHAnsi" w:hAnsiTheme="minorHAnsi" w:cstheme="minorHAnsi"/>
          <w:sz w:val="22"/>
          <w:szCs w:val="22"/>
        </w:rPr>
        <w:t xml:space="preserve">For any purpose relevant to its functions under any enactment. </w:t>
      </w:r>
    </w:p>
    <w:p w14:paraId="38C9C017" w14:textId="3CCCE602" w:rsidR="006E24C4" w:rsidRPr="00AD3EB6" w:rsidRDefault="006E24C4" w:rsidP="00AD3EB6">
      <w:pPr>
        <w:pStyle w:val="Style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AD3EB6">
        <w:rPr>
          <w:rFonts w:asciiTheme="minorHAnsi" w:hAnsiTheme="minorHAnsi" w:cstheme="minorHAnsi"/>
          <w:sz w:val="22"/>
          <w:szCs w:val="22"/>
        </w:rPr>
        <w:t>For the purpose of</w:t>
      </w:r>
      <w:proofErr w:type="gramEnd"/>
      <w:r w:rsidRPr="00AD3EB6">
        <w:rPr>
          <w:rFonts w:asciiTheme="minorHAnsi" w:hAnsiTheme="minorHAnsi" w:cstheme="minorHAnsi"/>
          <w:sz w:val="22"/>
          <w:szCs w:val="22"/>
        </w:rPr>
        <w:t xml:space="preserve"> prudent management of its financial affairs.</w:t>
      </w:r>
    </w:p>
    <w:p w14:paraId="6CDD47D0" w14:textId="77777777" w:rsidR="00C4380C" w:rsidRPr="00AD3EB6" w:rsidRDefault="00C4380C" w:rsidP="006E24C4">
      <w:pPr>
        <w:pStyle w:val="Style"/>
        <w:ind w:left="720"/>
        <w:rPr>
          <w:rFonts w:asciiTheme="minorHAnsi" w:hAnsiTheme="minorHAnsi" w:cstheme="minorHAnsi"/>
          <w:sz w:val="22"/>
          <w:szCs w:val="22"/>
        </w:rPr>
      </w:pPr>
    </w:p>
    <w:p w14:paraId="051DC7C8" w14:textId="77777777" w:rsidR="00C4380C" w:rsidRPr="00AD3EB6" w:rsidRDefault="00C4380C" w:rsidP="00C4380C">
      <w:pPr>
        <w:pStyle w:val="Style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D3EB6">
        <w:rPr>
          <w:rFonts w:asciiTheme="minorHAnsi" w:hAnsiTheme="minorHAnsi" w:cstheme="minorHAnsi"/>
          <w:b/>
          <w:bCs/>
          <w:sz w:val="28"/>
          <w:szCs w:val="28"/>
          <w:u w:val="single"/>
        </w:rPr>
        <w:t>Objectives</w:t>
      </w:r>
    </w:p>
    <w:p w14:paraId="4C098764" w14:textId="77777777" w:rsidR="00C4380C" w:rsidRPr="00AD3EB6" w:rsidRDefault="00C4380C" w:rsidP="00C4380C">
      <w:pPr>
        <w:pStyle w:val="Style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6285F2EF" w14:textId="2B4F162A" w:rsidR="00C4380C" w:rsidRDefault="00C4380C" w:rsidP="00657B3E">
      <w:pPr>
        <w:pStyle w:val="Style"/>
        <w:numPr>
          <w:ilvl w:val="1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AD3EB6">
        <w:rPr>
          <w:rFonts w:asciiTheme="minorHAnsi" w:hAnsiTheme="minorHAnsi" w:cstheme="minorHAnsi"/>
          <w:sz w:val="22"/>
          <w:szCs w:val="22"/>
        </w:rPr>
        <w:t xml:space="preserve">The general policy objective of the Council is prudent investment of its balances. The Council’s investment priorities are: </w:t>
      </w:r>
    </w:p>
    <w:p w14:paraId="0166DF41" w14:textId="77777777" w:rsidR="00AD3EB6" w:rsidRPr="00AD3EB6" w:rsidRDefault="00AD3EB6" w:rsidP="00AD3EB6">
      <w:pPr>
        <w:pStyle w:val="Style"/>
        <w:ind w:left="360"/>
        <w:rPr>
          <w:rFonts w:asciiTheme="minorHAnsi" w:hAnsiTheme="minorHAnsi" w:cstheme="minorHAnsi"/>
          <w:sz w:val="22"/>
          <w:szCs w:val="22"/>
        </w:rPr>
      </w:pPr>
    </w:p>
    <w:p w14:paraId="47C5AC44" w14:textId="0096FA8D" w:rsidR="00C4380C" w:rsidRPr="00AD3EB6" w:rsidRDefault="00C4380C" w:rsidP="00AD3EB6">
      <w:pPr>
        <w:pStyle w:val="Style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AD3EB6">
        <w:rPr>
          <w:rFonts w:asciiTheme="minorHAnsi" w:hAnsiTheme="minorHAnsi" w:cstheme="minorHAnsi"/>
          <w:sz w:val="22"/>
          <w:szCs w:val="22"/>
        </w:rPr>
        <w:t>Security of reserves</w:t>
      </w:r>
    </w:p>
    <w:p w14:paraId="056E86B2" w14:textId="77777777" w:rsidR="00C4380C" w:rsidRPr="00AD3EB6" w:rsidRDefault="00C4380C" w:rsidP="00C4380C">
      <w:pPr>
        <w:pStyle w:val="Style"/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AD3EB6">
        <w:rPr>
          <w:rFonts w:asciiTheme="minorHAnsi" w:hAnsiTheme="minorHAnsi" w:cstheme="minorHAnsi"/>
          <w:sz w:val="22"/>
          <w:szCs w:val="22"/>
        </w:rPr>
        <w:t xml:space="preserve"> </w:t>
      </w:r>
      <w:r w:rsidRPr="00AD3EB6">
        <w:rPr>
          <w:rFonts w:asciiTheme="minorHAnsi" w:hAnsiTheme="minorHAnsi" w:cstheme="minorHAnsi"/>
          <w:b/>
          <w:bCs/>
          <w:sz w:val="22"/>
          <w:szCs w:val="22"/>
        </w:rPr>
        <w:t xml:space="preserve">and then </w:t>
      </w:r>
    </w:p>
    <w:p w14:paraId="7C3213E8" w14:textId="136F49D9" w:rsidR="00C4380C" w:rsidRPr="00AD3EB6" w:rsidRDefault="00C4380C" w:rsidP="00AD3EB6">
      <w:pPr>
        <w:pStyle w:val="Style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AD3EB6">
        <w:rPr>
          <w:rFonts w:asciiTheme="minorHAnsi" w:hAnsiTheme="minorHAnsi" w:cstheme="minorHAnsi"/>
          <w:sz w:val="22"/>
          <w:szCs w:val="22"/>
        </w:rPr>
        <w:t xml:space="preserve">Liquidity of investments </w:t>
      </w:r>
    </w:p>
    <w:p w14:paraId="2832A2CB" w14:textId="77777777" w:rsidR="00C4380C" w:rsidRPr="00AD3EB6" w:rsidRDefault="00C4380C" w:rsidP="00C4380C">
      <w:pPr>
        <w:pStyle w:val="Style"/>
        <w:ind w:left="720"/>
        <w:rPr>
          <w:rFonts w:asciiTheme="minorHAnsi" w:hAnsiTheme="minorHAnsi" w:cstheme="minorHAnsi"/>
          <w:sz w:val="22"/>
          <w:szCs w:val="22"/>
        </w:rPr>
      </w:pPr>
    </w:p>
    <w:p w14:paraId="399C14CC" w14:textId="23607FB6" w:rsidR="00C4380C" w:rsidRPr="00AD3EB6" w:rsidRDefault="00C4380C" w:rsidP="00657B3E">
      <w:pPr>
        <w:pStyle w:val="Style"/>
        <w:numPr>
          <w:ilvl w:val="1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AD3EB6">
        <w:rPr>
          <w:rFonts w:asciiTheme="minorHAnsi" w:hAnsiTheme="minorHAnsi" w:cstheme="minorHAnsi"/>
          <w:sz w:val="22"/>
          <w:szCs w:val="22"/>
        </w:rPr>
        <w:t xml:space="preserve">The Council will aim to achieve </w:t>
      </w:r>
      <w:proofErr w:type="gramStart"/>
      <w:r w:rsidRPr="00AD3EB6">
        <w:rPr>
          <w:rFonts w:asciiTheme="minorHAnsi" w:hAnsiTheme="minorHAnsi" w:cstheme="minorHAnsi"/>
          <w:sz w:val="22"/>
          <w:szCs w:val="22"/>
        </w:rPr>
        <w:t>the</w:t>
      </w:r>
      <w:proofErr w:type="gramEnd"/>
      <w:r w:rsidRPr="00AD3EB6">
        <w:rPr>
          <w:rFonts w:asciiTheme="minorHAnsi" w:hAnsiTheme="minorHAnsi" w:cstheme="minorHAnsi"/>
          <w:sz w:val="22"/>
          <w:szCs w:val="22"/>
        </w:rPr>
        <w:t xml:space="preserve"> optimum return on its investments commensurate with proper levels of security and liquidity.  </w:t>
      </w:r>
    </w:p>
    <w:p w14:paraId="5B4C2B79" w14:textId="77777777" w:rsidR="006E24C4" w:rsidRPr="00AD3EB6" w:rsidRDefault="006E24C4" w:rsidP="00C4380C">
      <w:pPr>
        <w:pStyle w:val="Style"/>
        <w:rPr>
          <w:rFonts w:asciiTheme="minorHAnsi" w:hAnsiTheme="minorHAnsi" w:cstheme="minorHAnsi"/>
          <w:sz w:val="22"/>
          <w:szCs w:val="22"/>
        </w:rPr>
      </w:pPr>
    </w:p>
    <w:p w14:paraId="11BDA758" w14:textId="77777777" w:rsidR="00657B3E" w:rsidRDefault="00657B3E" w:rsidP="006E24C4">
      <w:pPr>
        <w:pStyle w:val="Style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550C9C2" w14:textId="77777777" w:rsidR="00657B3E" w:rsidRDefault="00657B3E" w:rsidP="006E24C4">
      <w:pPr>
        <w:pStyle w:val="Style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4D255FF5" w14:textId="77777777" w:rsidR="00657B3E" w:rsidRDefault="00657B3E" w:rsidP="006E24C4">
      <w:pPr>
        <w:pStyle w:val="Style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FE6EFB6" w14:textId="77777777" w:rsidR="00657B3E" w:rsidRDefault="00657B3E" w:rsidP="006E24C4">
      <w:pPr>
        <w:pStyle w:val="Style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0B6DD84C" w14:textId="77777777" w:rsidR="00657B3E" w:rsidRDefault="00657B3E" w:rsidP="006E24C4">
      <w:pPr>
        <w:pStyle w:val="Style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405E4BC0" w14:textId="77777777" w:rsidR="00657B3E" w:rsidRDefault="00657B3E" w:rsidP="006E24C4">
      <w:pPr>
        <w:pStyle w:val="Style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44D1B22" w14:textId="7C8CDAFD" w:rsidR="00657B3E" w:rsidRDefault="00C4380C" w:rsidP="00657B3E">
      <w:pPr>
        <w:pStyle w:val="Style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D3EB6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 xml:space="preserve">Investment </w:t>
      </w:r>
      <w:r w:rsidR="006E24C4" w:rsidRPr="00AD3EB6">
        <w:rPr>
          <w:rFonts w:asciiTheme="minorHAnsi" w:hAnsiTheme="minorHAnsi" w:cstheme="minorHAnsi"/>
          <w:b/>
          <w:bCs/>
          <w:sz w:val="28"/>
          <w:szCs w:val="28"/>
          <w:u w:val="single"/>
        </w:rPr>
        <w:t>Policy</w:t>
      </w:r>
    </w:p>
    <w:p w14:paraId="7939F1D4" w14:textId="77777777" w:rsidR="00657B3E" w:rsidRPr="00657B3E" w:rsidRDefault="00657B3E" w:rsidP="00657B3E">
      <w:pPr>
        <w:pStyle w:val="Style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0C8C9492" w14:textId="536882FA" w:rsidR="003A456F" w:rsidRDefault="003A456F" w:rsidP="00657B3E">
      <w:pPr>
        <w:pStyle w:val="ListParagraph"/>
        <w:numPr>
          <w:ilvl w:val="1"/>
          <w:numId w:val="27"/>
        </w:numPr>
      </w:pPr>
      <w:r w:rsidRPr="00AD3EB6">
        <w:t xml:space="preserve">All investment and deposits will be with UK registered banks or building societies. </w:t>
      </w:r>
    </w:p>
    <w:p w14:paraId="54D3B592" w14:textId="77777777" w:rsidR="00657B3E" w:rsidRPr="00AD3EB6" w:rsidRDefault="00657B3E" w:rsidP="00657B3E">
      <w:pPr>
        <w:pStyle w:val="ListParagraph"/>
        <w:ind w:left="360"/>
      </w:pPr>
    </w:p>
    <w:p w14:paraId="69FD8762" w14:textId="3E3FB197" w:rsidR="00657B3E" w:rsidRDefault="003A456F" w:rsidP="00657B3E">
      <w:pPr>
        <w:pStyle w:val="ListParagraph"/>
        <w:numPr>
          <w:ilvl w:val="1"/>
          <w:numId w:val="27"/>
        </w:numPr>
      </w:pPr>
      <w:r w:rsidRPr="00AD3EB6">
        <w:t xml:space="preserve">All investments, deposits and interest will be in £ sterling. </w:t>
      </w:r>
    </w:p>
    <w:p w14:paraId="6E67B825" w14:textId="77777777" w:rsidR="00657B3E" w:rsidRDefault="00657B3E" w:rsidP="00657B3E">
      <w:pPr>
        <w:pStyle w:val="ListParagraph"/>
        <w:ind w:left="360"/>
      </w:pPr>
    </w:p>
    <w:p w14:paraId="2C760036" w14:textId="77777777" w:rsidR="00657B3E" w:rsidRDefault="003A456F" w:rsidP="00657B3E">
      <w:pPr>
        <w:pStyle w:val="ListParagraph"/>
        <w:numPr>
          <w:ilvl w:val="1"/>
          <w:numId w:val="27"/>
        </w:numPr>
      </w:pPr>
      <w:r w:rsidRPr="00AD3EB6">
        <w:t xml:space="preserve">Investments for current expenditure will be on instant access deposit accounts. </w:t>
      </w:r>
    </w:p>
    <w:p w14:paraId="45F2EC70" w14:textId="77777777" w:rsidR="00657B3E" w:rsidRDefault="00657B3E" w:rsidP="00657B3E">
      <w:pPr>
        <w:pStyle w:val="ListParagraph"/>
      </w:pPr>
    </w:p>
    <w:p w14:paraId="3DD841F3" w14:textId="77777777" w:rsidR="00657B3E" w:rsidRDefault="003A456F" w:rsidP="00657B3E">
      <w:pPr>
        <w:pStyle w:val="ListParagraph"/>
        <w:numPr>
          <w:ilvl w:val="1"/>
          <w:numId w:val="27"/>
        </w:numPr>
      </w:pPr>
      <w:r w:rsidRPr="00AD3EB6">
        <w:t xml:space="preserve">Investments not required for current expenditure i.e. the general reserve may be placed on longer term deposits of up to 2 years. </w:t>
      </w:r>
    </w:p>
    <w:p w14:paraId="2C66D25B" w14:textId="77777777" w:rsidR="00657B3E" w:rsidRDefault="00657B3E" w:rsidP="00657B3E">
      <w:pPr>
        <w:pStyle w:val="ListParagraph"/>
      </w:pPr>
    </w:p>
    <w:p w14:paraId="172C8A2F" w14:textId="77777777" w:rsidR="00657B3E" w:rsidRDefault="003A456F" w:rsidP="00657B3E">
      <w:pPr>
        <w:pStyle w:val="ListParagraph"/>
        <w:numPr>
          <w:ilvl w:val="1"/>
          <w:numId w:val="27"/>
        </w:numPr>
      </w:pPr>
      <w:r w:rsidRPr="00AD3EB6">
        <w:t xml:space="preserve">Investments not required for current expenditure i.e. earmarked reserves may be placed on medium term deposits not exceeding 1 year. </w:t>
      </w:r>
    </w:p>
    <w:p w14:paraId="22BDEECA" w14:textId="77777777" w:rsidR="00657B3E" w:rsidRDefault="00657B3E" w:rsidP="00657B3E">
      <w:pPr>
        <w:pStyle w:val="ListParagraph"/>
      </w:pPr>
    </w:p>
    <w:p w14:paraId="3B96976B" w14:textId="77777777" w:rsidR="00657B3E" w:rsidRDefault="003A456F" w:rsidP="00657B3E">
      <w:pPr>
        <w:pStyle w:val="ListParagraph"/>
        <w:numPr>
          <w:ilvl w:val="1"/>
          <w:numId w:val="27"/>
        </w:numPr>
      </w:pPr>
      <w:r w:rsidRPr="00AD3EB6">
        <w:t>The credit ratings of the institutions will be a minimum of ‘A</w:t>
      </w:r>
      <w:proofErr w:type="gramStart"/>
      <w:r w:rsidRPr="00AD3EB6">
        <w:t>’</w:t>
      </w:r>
      <w:proofErr w:type="gramEnd"/>
      <w:r w:rsidRPr="00AD3EB6">
        <w:t xml:space="preserve"> and these will be monitored regularly. </w:t>
      </w:r>
    </w:p>
    <w:p w14:paraId="1B3BB47F" w14:textId="77777777" w:rsidR="00657B3E" w:rsidRDefault="00657B3E" w:rsidP="00657B3E">
      <w:pPr>
        <w:pStyle w:val="ListParagraph"/>
      </w:pPr>
    </w:p>
    <w:p w14:paraId="322B126D" w14:textId="7F0834B8" w:rsidR="003A456F" w:rsidRPr="00AD3EB6" w:rsidRDefault="003A456F" w:rsidP="00657B3E">
      <w:pPr>
        <w:pStyle w:val="ListParagraph"/>
        <w:numPr>
          <w:ilvl w:val="1"/>
          <w:numId w:val="27"/>
        </w:numPr>
      </w:pPr>
      <w:r w:rsidRPr="00AD3EB6">
        <w:t xml:space="preserve">Investments shall be </w:t>
      </w:r>
      <w:r w:rsidR="002E55F2">
        <w:t>proposed for approval</w:t>
      </w:r>
      <w:r w:rsidRPr="00AD3EB6">
        <w:t xml:space="preserve"> by th</w:t>
      </w:r>
      <w:r w:rsidR="002E55F2">
        <w:t>e Parish Council by the Responsible Financial Officer</w:t>
      </w:r>
      <w:r w:rsidRPr="00AD3EB6">
        <w:t xml:space="preserve"> having used due diligence including as a minimum finance search engines and ratings agencies.</w:t>
      </w:r>
    </w:p>
    <w:p w14:paraId="67F8F3A0" w14:textId="77777777" w:rsidR="00657B3E" w:rsidRPr="00657B3E" w:rsidRDefault="003A456F" w:rsidP="00657B3E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657B3E">
        <w:rPr>
          <w:sz w:val="20"/>
          <w:szCs w:val="20"/>
        </w:rPr>
        <w:t>The</w:t>
      </w:r>
      <w:r w:rsidRPr="00657B3E">
        <w:rPr>
          <w:spacing w:val="-6"/>
          <w:sz w:val="20"/>
          <w:szCs w:val="20"/>
        </w:rPr>
        <w:t xml:space="preserve"> </w:t>
      </w:r>
      <w:r w:rsidRPr="00657B3E">
        <w:rPr>
          <w:sz w:val="20"/>
          <w:szCs w:val="20"/>
        </w:rPr>
        <w:t>actual</w:t>
      </w:r>
      <w:r w:rsidRPr="00657B3E">
        <w:rPr>
          <w:spacing w:val="-5"/>
          <w:sz w:val="20"/>
          <w:szCs w:val="20"/>
        </w:rPr>
        <w:t xml:space="preserve"> </w:t>
      </w:r>
      <w:r w:rsidRPr="00657B3E">
        <w:rPr>
          <w:sz w:val="20"/>
          <w:szCs w:val="20"/>
        </w:rPr>
        <w:t>movement</w:t>
      </w:r>
      <w:r w:rsidRPr="00657B3E">
        <w:rPr>
          <w:spacing w:val="-5"/>
          <w:sz w:val="20"/>
          <w:szCs w:val="20"/>
        </w:rPr>
        <w:t xml:space="preserve"> </w:t>
      </w:r>
      <w:r w:rsidRPr="00657B3E">
        <w:rPr>
          <w:sz w:val="20"/>
          <w:szCs w:val="20"/>
        </w:rPr>
        <w:t>of</w:t>
      </w:r>
      <w:r w:rsidRPr="00657B3E">
        <w:rPr>
          <w:spacing w:val="-6"/>
          <w:sz w:val="20"/>
          <w:szCs w:val="20"/>
        </w:rPr>
        <w:t xml:space="preserve"> </w:t>
      </w:r>
      <w:r w:rsidRPr="00657B3E">
        <w:rPr>
          <w:sz w:val="20"/>
          <w:szCs w:val="20"/>
        </w:rPr>
        <w:t>money</w:t>
      </w:r>
      <w:r w:rsidRPr="00657B3E">
        <w:rPr>
          <w:spacing w:val="-4"/>
          <w:sz w:val="20"/>
          <w:szCs w:val="20"/>
        </w:rPr>
        <w:t xml:space="preserve"> </w:t>
      </w:r>
      <w:r w:rsidRPr="00657B3E">
        <w:rPr>
          <w:sz w:val="20"/>
          <w:szCs w:val="20"/>
        </w:rPr>
        <w:t>shall</w:t>
      </w:r>
      <w:r w:rsidRPr="00657B3E">
        <w:rPr>
          <w:spacing w:val="-5"/>
          <w:sz w:val="20"/>
          <w:szCs w:val="20"/>
        </w:rPr>
        <w:t xml:space="preserve"> </w:t>
      </w:r>
      <w:r w:rsidRPr="00657B3E">
        <w:rPr>
          <w:sz w:val="20"/>
          <w:szCs w:val="20"/>
        </w:rPr>
        <w:t>be</w:t>
      </w:r>
      <w:r w:rsidRPr="00657B3E">
        <w:rPr>
          <w:spacing w:val="-5"/>
          <w:sz w:val="20"/>
          <w:szCs w:val="20"/>
        </w:rPr>
        <w:t xml:space="preserve"> </w:t>
      </w:r>
      <w:r w:rsidRPr="00657B3E">
        <w:rPr>
          <w:sz w:val="20"/>
          <w:szCs w:val="20"/>
        </w:rPr>
        <w:t>by</w:t>
      </w:r>
      <w:r w:rsidRPr="00657B3E">
        <w:rPr>
          <w:spacing w:val="-4"/>
          <w:sz w:val="20"/>
          <w:szCs w:val="20"/>
        </w:rPr>
        <w:t xml:space="preserve"> </w:t>
      </w:r>
      <w:r w:rsidRPr="00657B3E">
        <w:rPr>
          <w:sz w:val="20"/>
          <w:szCs w:val="20"/>
        </w:rPr>
        <w:t>the</w:t>
      </w:r>
      <w:r w:rsidRPr="00657B3E">
        <w:rPr>
          <w:spacing w:val="-6"/>
          <w:sz w:val="20"/>
          <w:szCs w:val="20"/>
        </w:rPr>
        <w:t xml:space="preserve"> </w:t>
      </w:r>
      <w:r w:rsidRPr="00657B3E">
        <w:rPr>
          <w:sz w:val="20"/>
          <w:szCs w:val="20"/>
        </w:rPr>
        <w:t>usual</w:t>
      </w:r>
      <w:r w:rsidRPr="00657B3E">
        <w:rPr>
          <w:spacing w:val="-5"/>
          <w:sz w:val="20"/>
          <w:szCs w:val="20"/>
        </w:rPr>
        <w:t xml:space="preserve"> </w:t>
      </w:r>
      <w:r w:rsidRPr="00657B3E">
        <w:rPr>
          <w:sz w:val="20"/>
          <w:szCs w:val="20"/>
        </w:rPr>
        <w:t>authorised</w:t>
      </w:r>
      <w:r w:rsidRPr="00657B3E">
        <w:rPr>
          <w:spacing w:val="-4"/>
          <w:sz w:val="20"/>
          <w:szCs w:val="20"/>
        </w:rPr>
        <w:t xml:space="preserve"> </w:t>
      </w:r>
      <w:r w:rsidRPr="00657B3E">
        <w:rPr>
          <w:spacing w:val="-2"/>
          <w:sz w:val="20"/>
          <w:szCs w:val="20"/>
        </w:rPr>
        <w:t>signatories.</w:t>
      </w:r>
    </w:p>
    <w:p w14:paraId="7BC7F5FA" w14:textId="77777777" w:rsidR="00657B3E" w:rsidRPr="00657B3E" w:rsidRDefault="00657B3E" w:rsidP="00657B3E">
      <w:pPr>
        <w:pStyle w:val="ListParagraph"/>
        <w:rPr>
          <w:sz w:val="20"/>
          <w:szCs w:val="20"/>
        </w:rPr>
      </w:pPr>
    </w:p>
    <w:p w14:paraId="46C4637D" w14:textId="77777777" w:rsidR="00657B3E" w:rsidRPr="002E55F2" w:rsidRDefault="003A456F" w:rsidP="00657B3E">
      <w:pPr>
        <w:pStyle w:val="ListParagraph"/>
        <w:numPr>
          <w:ilvl w:val="1"/>
          <w:numId w:val="27"/>
        </w:numPr>
        <w:rPr>
          <w:sz w:val="20"/>
          <w:szCs w:val="20"/>
        </w:rPr>
      </w:pPr>
      <w:r w:rsidRPr="00AD3EB6">
        <w:t>The procedure for undertaking investments, considering the need for timely and speedy placing of deals shall be documented by the Responsible Financial Officer and approved by</w:t>
      </w:r>
      <w:r w:rsidRPr="00657B3E">
        <w:rPr>
          <w:spacing w:val="40"/>
        </w:rPr>
        <w:t xml:space="preserve"> </w:t>
      </w:r>
      <w:r w:rsidRPr="00AD3EB6">
        <w:t>the</w:t>
      </w:r>
      <w:r w:rsidR="00AD3EB6" w:rsidRPr="00AD3EB6">
        <w:t xml:space="preserve"> Council</w:t>
      </w:r>
      <w:r w:rsidRPr="00AD3EB6">
        <w:t xml:space="preserve"> before any investments are placed.</w:t>
      </w:r>
    </w:p>
    <w:p w14:paraId="72F86960" w14:textId="77777777" w:rsidR="002E55F2" w:rsidRPr="002E55F2" w:rsidRDefault="002E55F2" w:rsidP="002E55F2">
      <w:pPr>
        <w:pStyle w:val="ListParagraph"/>
        <w:ind w:left="360"/>
        <w:rPr>
          <w:sz w:val="20"/>
          <w:szCs w:val="20"/>
        </w:rPr>
      </w:pPr>
    </w:p>
    <w:p w14:paraId="137EDB0C" w14:textId="05850DCB" w:rsidR="002E55F2" w:rsidRPr="00657B3E" w:rsidRDefault="002E55F2" w:rsidP="00657B3E">
      <w:pPr>
        <w:pStyle w:val="ListParagraph"/>
        <w:numPr>
          <w:ilvl w:val="1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 xml:space="preserve">The investments of the Parish Council shall be reviewed on a quarterly basis at the same meeting that the quarterly Parish Council accounts are reviewed. </w:t>
      </w:r>
    </w:p>
    <w:p w14:paraId="126EA879" w14:textId="77777777" w:rsidR="00657B3E" w:rsidRPr="00657B3E" w:rsidRDefault="00657B3E" w:rsidP="00657B3E">
      <w:pPr>
        <w:pStyle w:val="ListParagraph"/>
        <w:ind w:left="360"/>
        <w:rPr>
          <w:sz w:val="20"/>
          <w:szCs w:val="20"/>
        </w:rPr>
      </w:pPr>
    </w:p>
    <w:p w14:paraId="0E84EBDE" w14:textId="5C6EDCDE" w:rsidR="00AD3EB6" w:rsidRPr="00657B3E" w:rsidRDefault="002E55F2" w:rsidP="00657B3E">
      <w:pPr>
        <w:pStyle w:val="ListParagraph"/>
        <w:numPr>
          <w:ilvl w:val="1"/>
          <w:numId w:val="27"/>
        </w:numPr>
        <w:rPr>
          <w:sz w:val="20"/>
          <w:szCs w:val="20"/>
        </w:rPr>
      </w:pPr>
      <w:r>
        <w:t xml:space="preserve"> </w:t>
      </w:r>
      <w:r w:rsidR="00AD3EB6" w:rsidRPr="00AD3EB6">
        <w:t>The Responsible Financial Officer shall review credit ratings of organisations in which the Council holds investments on a quarterly basis. Should the credit rating of an organisation fall below that specified under 3.6, the Responsible Financial Officer shall consult the Council and take the appropriate action.</w:t>
      </w:r>
    </w:p>
    <w:p w14:paraId="58181DA6" w14:textId="4BAE1F5A" w:rsidR="00AD3EB6" w:rsidRPr="00657B3E" w:rsidRDefault="00AD3EB6" w:rsidP="00657B3E">
      <w:pPr>
        <w:rPr>
          <w:b/>
          <w:bCs/>
          <w:sz w:val="28"/>
          <w:szCs w:val="28"/>
          <w:u w:val="single"/>
        </w:rPr>
      </w:pPr>
      <w:r w:rsidRPr="00657B3E">
        <w:rPr>
          <w:b/>
          <w:bCs/>
          <w:sz w:val="28"/>
          <w:szCs w:val="28"/>
          <w:u w:val="single"/>
        </w:rPr>
        <w:t>Revision</w:t>
      </w:r>
    </w:p>
    <w:p w14:paraId="3B7EBC1B" w14:textId="77777777" w:rsidR="00657B3E" w:rsidRDefault="00657B3E" w:rsidP="00657B3E">
      <w:r>
        <w:t xml:space="preserve">4.1 </w:t>
      </w:r>
      <w:r w:rsidR="00AD3EB6" w:rsidRPr="00AD3EB6">
        <w:t xml:space="preserve">This policy will be reviewed annually. </w:t>
      </w:r>
    </w:p>
    <w:p w14:paraId="2A6383DD" w14:textId="77777777" w:rsidR="00657B3E" w:rsidRDefault="00657B3E" w:rsidP="00657B3E">
      <w:r>
        <w:t xml:space="preserve">4.2 </w:t>
      </w:r>
      <w:r w:rsidR="00AD3EB6" w:rsidRPr="00AD3EB6">
        <w:t>Any</w:t>
      </w:r>
      <w:r w:rsidR="00AD3EB6" w:rsidRPr="00AD3EB6">
        <w:rPr>
          <w:spacing w:val="-4"/>
        </w:rPr>
        <w:t xml:space="preserve"> </w:t>
      </w:r>
      <w:r w:rsidR="00AD3EB6" w:rsidRPr="00AD3EB6">
        <w:t>revisions</w:t>
      </w:r>
      <w:r w:rsidR="00AD3EB6" w:rsidRPr="00AD3EB6">
        <w:rPr>
          <w:spacing w:val="-6"/>
        </w:rPr>
        <w:t xml:space="preserve"> </w:t>
      </w:r>
      <w:r w:rsidR="00AD3EB6" w:rsidRPr="00AD3EB6">
        <w:t>to</w:t>
      </w:r>
      <w:r w:rsidR="00AD3EB6" w:rsidRPr="00AD3EB6">
        <w:rPr>
          <w:spacing w:val="-4"/>
        </w:rPr>
        <w:t xml:space="preserve"> </w:t>
      </w:r>
      <w:r w:rsidR="00AD3EB6" w:rsidRPr="00AD3EB6">
        <w:t>this</w:t>
      </w:r>
      <w:r w:rsidR="00AD3EB6" w:rsidRPr="00AD3EB6">
        <w:rPr>
          <w:spacing w:val="-6"/>
        </w:rPr>
        <w:t xml:space="preserve"> </w:t>
      </w:r>
      <w:r w:rsidR="00AD3EB6" w:rsidRPr="00AD3EB6">
        <w:t>policy</w:t>
      </w:r>
      <w:r w:rsidR="00AD3EB6" w:rsidRPr="00AD3EB6">
        <w:rPr>
          <w:spacing w:val="-3"/>
        </w:rPr>
        <w:t xml:space="preserve"> </w:t>
      </w:r>
      <w:r w:rsidR="00AD3EB6" w:rsidRPr="00AD3EB6">
        <w:t>shall</w:t>
      </w:r>
      <w:r w:rsidR="00AD3EB6" w:rsidRPr="00AD3EB6">
        <w:rPr>
          <w:spacing w:val="-5"/>
        </w:rPr>
        <w:t xml:space="preserve"> </w:t>
      </w:r>
      <w:r w:rsidR="00AD3EB6" w:rsidRPr="00AD3EB6">
        <w:t>be</w:t>
      </w:r>
      <w:r w:rsidR="00AD3EB6" w:rsidRPr="00AD3EB6">
        <w:rPr>
          <w:spacing w:val="-5"/>
        </w:rPr>
        <w:t xml:space="preserve"> </w:t>
      </w:r>
      <w:r w:rsidR="00AD3EB6" w:rsidRPr="00AD3EB6">
        <w:t>approved</w:t>
      </w:r>
      <w:r w:rsidR="00AD3EB6" w:rsidRPr="00AD3EB6">
        <w:rPr>
          <w:spacing w:val="-4"/>
        </w:rPr>
        <w:t xml:space="preserve"> </w:t>
      </w:r>
      <w:r w:rsidR="00AD3EB6" w:rsidRPr="00AD3EB6">
        <w:t>by</w:t>
      </w:r>
      <w:r w:rsidR="00AD3EB6" w:rsidRPr="00AD3EB6">
        <w:rPr>
          <w:spacing w:val="-3"/>
        </w:rPr>
        <w:t xml:space="preserve"> </w:t>
      </w:r>
      <w:r w:rsidR="00AD3EB6" w:rsidRPr="00AD3EB6">
        <w:t>the</w:t>
      </w:r>
      <w:r w:rsidR="00AD3EB6" w:rsidRPr="00AD3EB6">
        <w:rPr>
          <w:spacing w:val="-6"/>
        </w:rPr>
        <w:t xml:space="preserve"> </w:t>
      </w:r>
      <w:r w:rsidR="00AD3EB6" w:rsidRPr="00AD3EB6">
        <w:t>Full</w:t>
      </w:r>
      <w:r w:rsidR="00AD3EB6" w:rsidRPr="00AD3EB6">
        <w:rPr>
          <w:spacing w:val="-4"/>
        </w:rPr>
        <w:t xml:space="preserve"> </w:t>
      </w:r>
      <w:r w:rsidR="00AD3EB6" w:rsidRPr="00AD3EB6">
        <w:rPr>
          <w:spacing w:val="-2"/>
        </w:rPr>
        <w:t xml:space="preserve">Council prior to the commencement of the new financial year. </w:t>
      </w:r>
      <w:r w:rsidR="00AD3EB6" w:rsidRPr="00AD3EB6">
        <w:t>Where no changes are proposed, Full Council shall note the policy.</w:t>
      </w:r>
    </w:p>
    <w:p w14:paraId="4CD6D26F" w14:textId="5949BC0A" w:rsidR="006E24C4" w:rsidRPr="00AD3EB6" w:rsidRDefault="00657B3E" w:rsidP="00657B3E">
      <w:r>
        <w:t xml:space="preserve">4.3 </w:t>
      </w:r>
      <w:r w:rsidR="00AD3EB6" w:rsidRPr="00AD3EB6">
        <w:t>Notwithstanding 4.1 this policy shall be reviewed in the event the Bank of England increases</w:t>
      </w:r>
      <w:r w:rsidR="00AD3EB6" w:rsidRPr="00AD3EB6">
        <w:rPr>
          <w:spacing w:val="40"/>
        </w:rPr>
        <w:t xml:space="preserve"> </w:t>
      </w:r>
      <w:r w:rsidR="00AD3EB6" w:rsidRPr="00AD3EB6">
        <w:t>its base rate above 3%</w:t>
      </w:r>
      <w:r w:rsidR="002E55F2">
        <w:t>.</w:t>
      </w:r>
    </w:p>
    <w:p w14:paraId="57DD8C5A" w14:textId="61A93B31" w:rsidR="003C2C43" w:rsidRPr="00657B3E" w:rsidRDefault="003C2C43" w:rsidP="00657B3E">
      <w:pPr>
        <w:pStyle w:val="Style"/>
        <w:rPr>
          <w:rFonts w:asciiTheme="minorHAnsi" w:hAnsiTheme="minorHAnsi" w:cstheme="minorHAnsi"/>
          <w:i/>
          <w:i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C2C43" w:rsidRPr="00AD3EB6" w14:paraId="5759A8E3" w14:textId="77777777" w:rsidTr="003C2C43">
        <w:tc>
          <w:tcPr>
            <w:tcW w:w="4508" w:type="dxa"/>
          </w:tcPr>
          <w:p w14:paraId="03A71427" w14:textId="7812567E" w:rsidR="003C2C43" w:rsidRPr="002E55F2" w:rsidRDefault="003C2C43" w:rsidP="003C2C4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55F2">
              <w:rPr>
                <w:rFonts w:cstheme="minorHAnsi"/>
                <w:b/>
                <w:bCs/>
                <w:sz w:val="20"/>
                <w:szCs w:val="20"/>
              </w:rPr>
              <w:t>Review and approved:</w:t>
            </w:r>
          </w:p>
        </w:tc>
        <w:tc>
          <w:tcPr>
            <w:tcW w:w="4508" w:type="dxa"/>
          </w:tcPr>
          <w:p w14:paraId="3BBCDC3B" w14:textId="4E9AC5CC" w:rsidR="003C2C43" w:rsidRPr="002E55F2" w:rsidRDefault="003C2C43" w:rsidP="003C2C4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E55F2">
              <w:rPr>
                <w:rFonts w:cstheme="minorHAnsi"/>
                <w:b/>
                <w:bCs/>
                <w:sz w:val="20"/>
                <w:szCs w:val="20"/>
              </w:rPr>
              <w:t>Minute:</w:t>
            </w:r>
          </w:p>
        </w:tc>
      </w:tr>
      <w:tr w:rsidR="002E55F2" w:rsidRPr="00AD3EB6" w14:paraId="4EE60AD8" w14:textId="77777777" w:rsidTr="003C2C43">
        <w:tc>
          <w:tcPr>
            <w:tcW w:w="4508" w:type="dxa"/>
          </w:tcPr>
          <w:p w14:paraId="56DB47F1" w14:textId="2AA99CDF" w:rsidR="002E55F2" w:rsidRPr="002E55F2" w:rsidRDefault="002E55F2" w:rsidP="003C2C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55F2">
              <w:rPr>
                <w:rFonts w:cstheme="minorHAnsi"/>
                <w:sz w:val="20"/>
                <w:szCs w:val="20"/>
              </w:rPr>
              <w:lastRenderedPageBreak/>
              <w:t>20</w:t>
            </w:r>
            <w:r w:rsidRPr="002E55F2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2E55F2">
              <w:rPr>
                <w:rFonts w:cstheme="minorHAnsi"/>
                <w:sz w:val="20"/>
                <w:szCs w:val="20"/>
              </w:rPr>
              <w:t xml:space="preserve"> May 2024</w:t>
            </w:r>
          </w:p>
        </w:tc>
        <w:tc>
          <w:tcPr>
            <w:tcW w:w="4508" w:type="dxa"/>
          </w:tcPr>
          <w:p w14:paraId="3563C0BE" w14:textId="3B602541" w:rsidR="002E55F2" w:rsidRPr="002E55F2" w:rsidRDefault="002E55F2" w:rsidP="003C2C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55F2">
              <w:rPr>
                <w:rFonts w:cstheme="minorHAnsi"/>
                <w:sz w:val="20"/>
                <w:szCs w:val="20"/>
              </w:rPr>
              <w:t>24/015 b</w:t>
            </w:r>
          </w:p>
        </w:tc>
      </w:tr>
    </w:tbl>
    <w:p w14:paraId="7275DA62" w14:textId="7CA79A25" w:rsidR="00105A66" w:rsidRPr="00AD3EB6" w:rsidRDefault="00105A66" w:rsidP="00674B0E">
      <w:pPr>
        <w:pStyle w:val="Style"/>
        <w:rPr>
          <w:rFonts w:asciiTheme="minorHAnsi" w:hAnsiTheme="minorHAnsi" w:cstheme="minorHAnsi"/>
          <w:sz w:val="22"/>
          <w:szCs w:val="20"/>
        </w:rPr>
      </w:pPr>
    </w:p>
    <w:sectPr w:rsidR="00105A66" w:rsidRPr="00AD3E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4A311" w14:textId="77777777" w:rsidR="000F376A" w:rsidRDefault="000F376A" w:rsidP="00674B0E">
      <w:pPr>
        <w:spacing w:after="0" w:line="240" w:lineRule="auto"/>
      </w:pPr>
      <w:r>
        <w:separator/>
      </w:r>
    </w:p>
  </w:endnote>
  <w:endnote w:type="continuationSeparator" w:id="0">
    <w:p w14:paraId="290EDFE5" w14:textId="77777777" w:rsidR="000F376A" w:rsidRDefault="000F376A" w:rsidP="00674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5D552" w14:textId="77777777" w:rsidR="008B71DA" w:rsidRDefault="008B71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0140746"/>
      <w:docPartObj>
        <w:docPartGallery w:val="Page Numbers (Bottom of Page)"/>
        <w:docPartUnique/>
      </w:docPartObj>
    </w:sdtPr>
    <w:sdtEndPr>
      <w:rPr>
        <w:rFonts w:ascii="Gotham Book" w:hAnsi="Gotham Book"/>
        <w:noProof/>
      </w:rPr>
    </w:sdtEndPr>
    <w:sdtContent>
      <w:p w14:paraId="0DB0EF41" w14:textId="77777777" w:rsidR="00674B0E" w:rsidRPr="00390A24" w:rsidRDefault="00674B0E">
        <w:pPr>
          <w:pStyle w:val="Footer"/>
          <w:jc w:val="center"/>
          <w:rPr>
            <w:rFonts w:ascii="Gotham Book" w:hAnsi="Gotham Book"/>
          </w:rPr>
        </w:pPr>
        <w:r w:rsidRPr="00390A24">
          <w:rPr>
            <w:rFonts w:ascii="Gotham Book" w:hAnsi="Gotham Book"/>
          </w:rPr>
          <w:fldChar w:fldCharType="begin"/>
        </w:r>
        <w:r w:rsidRPr="00390A24">
          <w:rPr>
            <w:rFonts w:ascii="Gotham Book" w:hAnsi="Gotham Book"/>
          </w:rPr>
          <w:instrText xml:space="preserve"> PAGE   \* MERGEFORMAT </w:instrText>
        </w:r>
        <w:r w:rsidRPr="00390A24">
          <w:rPr>
            <w:rFonts w:ascii="Gotham Book" w:hAnsi="Gotham Book"/>
          </w:rPr>
          <w:fldChar w:fldCharType="separate"/>
        </w:r>
        <w:r>
          <w:rPr>
            <w:rFonts w:ascii="Gotham Book" w:hAnsi="Gotham Book"/>
            <w:noProof/>
          </w:rPr>
          <w:t>19</w:t>
        </w:r>
        <w:r w:rsidRPr="00390A24">
          <w:rPr>
            <w:rFonts w:ascii="Gotham Book" w:hAnsi="Gotham Book"/>
            <w:noProof/>
          </w:rPr>
          <w:fldChar w:fldCharType="end"/>
        </w:r>
      </w:p>
    </w:sdtContent>
  </w:sdt>
  <w:p w14:paraId="57D7455D" w14:textId="77777777" w:rsidR="00674B0E" w:rsidRPr="00815732" w:rsidRDefault="00674B0E" w:rsidP="00390A24">
    <w:pPr>
      <w:pStyle w:val="Footer"/>
      <w:rPr>
        <w:rFonts w:ascii="Gotham Book" w:hAnsi="Gotham Book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3E7C7" w14:textId="77777777" w:rsidR="008B71DA" w:rsidRDefault="008B71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B7FE6" w14:textId="77777777" w:rsidR="000F376A" w:rsidRDefault="000F376A" w:rsidP="00674B0E">
      <w:pPr>
        <w:spacing w:after="0" w:line="240" w:lineRule="auto"/>
      </w:pPr>
      <w:r>
        <w:separator/>
      </w:r>
    </w:p>
  </w:footnote>
  <w:footnote w:type="continuationSeparator" w:id="0">
    <w:p w14:paraId="395D06B8" w14:textId="77777777" w:rsidR="000F376A" w:rsidRDefault="000F376A" w:rsidP="00674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C4891" w14:textId="57DDB78D" w:rsidR="008B71DA" w:rsidRDefault="008B71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507E" w14:textId="6FD77516" w:rsidR="008B71DA" w:rsidRDefault="008B71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F1F3B" w14:textId="11FAA6CD" w:rsidR="008B71DA" w:rsidRDefault="008B71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4420"/>
    <w:multiLevelType w:val="hybridMultilevel"/>
    <w:tmpl w:val="A934AA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1100C"/>
    <w:multiLevelType w:val="hybridMultilevel"/>
    <w:tmpl w:val="522CD9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47555"/>
    <w:multiLevelType w:val="hybridMultilevel"/>
    <w:tmpl w:val="3056B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6D31"/>
    <w:multiLevelType w:val="multilevel"/>
    <w:tmpl w:val="60A8A8E4"/>
    <w:lvl w:ilvl="0">
      <w:start w:val="3"/>
      <w:numFmt w:val="decimal"/>
      <w:lvlText w:val="%1"/>
      <w:lvlJc w:val="left"/>
      <w:pPr>
        <w:ind w:left="2400" w:hanging="615"/>
      </w:pPr>
      <w:rPr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400" w:hanging="61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31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694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5482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6269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7056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844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631" w:hanging="360"/>
      </w:pPr>
      <w:rPr>
        <w:lang w:val="en-US" w:eastAsia="en-US" w:bidi="ar-SA"/>
      </w:rPr>
    </w:lvl>
  </w:abstractNum>
  <w:abstractNum w:abstractNumId="4" w15:restartNumberingAfterBreak="0">
    <w:nsid w:val="16B6063F"/>
    <w:multiLevelType w:val="hybridMultilevel"/>
    <w:tmpl w:val="FFCAA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B0EB1"/>
    <w:multiLevelType w:val="hybridMultilevel"/>
    <w:tmpl w:val="C2CC9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5DD0"/>
    <w:multiLevelType w:val="multilevel"/>
    <w:tmpl w:val="1A185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AB816F5"/>
    <w:multiLevelType w:val="hybridMultilevel"/>
    <w:tmpl w:val="CF3489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D4793"/>
    <w:multiLevelType w:val="multilevel"/>
    <w:tmpl w:val="145434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EBB66B5"/>
    <w:multiLevelType w:val="hybridMultilevel"/>
    <w:tmpl w:val="12D4B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A0705"/>
    <w:multiLevelType w:val="hybridMultilevel"/>
    <w:tmpl w:val="0056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34A97"/>
    <w:multiLevelType w:val="hybridMultilevel"/>
    <w:tmpl w:val="78B41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46C61"/>
    <w:multiLevelType w:val="hybridMultilevel"/>
    <w:tmpl w:val="09B81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641A0"/>
    <w:multiLevelType w:val="hybridMultilevel"/>
    <w:tmpl w:val="D03AD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D4E67"/>
    <w:multiLevelType w:val="hybridMultilevel"/>
    <w:tmpl w:val="1F901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D6EA4"/>
    <w:multiLevelType w:val="multilevel"/>
    <w:tmpl w:val="1A185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A1D7A30"/>
    <w:multiLevelType w:val="hybridMultilevel"/>
    <w:tmpl w:val="FD7E8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8141B"/>
    <w:multiLevelType w:val="hybridMultilevel"/>
    <w:tmpl w:val="5400DFD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56D55"/>
    <w:multiLevelType w:val="hybridMultilevel"/>
    <w:tmpl w:val="5E3A4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128CF"/>
    <w:multiLevelType w:val="multilevel"/>
    <w:tmpl w:val="AF1412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FFE60AB"/>
    <w:multiLevelType w:val="multilevel"/>
    <w:tmpl w:val="76C60F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1A12313"/>
    <w:multiLevelType w:val="hybridMultilevel"/>
    <w:tmpl w:val="33743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A7892"/>
    <w:multiLevelType w:val="multilevel"/>
    <w:tmpl w:val="70CE09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DD12FBD"/>
    <w:multiLevelType w:val="hybridMultilevel"/>
    <w:tmpl w:val="54DA9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D3166"/>
    <w:multiLevelType w:val="hybridMultilevel"/>
    <w:tmpl w:val="A4EA4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91696"/>
    <w:multiLevelType w:val="hybridMultilevel"/>
    <w:tmpl w:val="6CBCD1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30526"/>
    <w:multiLevelType w:val="multilevel"/>
    <w:tmpl w:val="4610209E"/>
    <w:lvl w:ilvl="0">
      <w:start w:val="4"/>
      <w:numFmt w:val="decimal"/>
      <w:lvlText w:val="%1"/>
      <w:lvlJc w:val="left"/>
      <w:pPr>
        <w:ind w:left="2399" w:hanging="615"/>
      </w:pPr>
      <w:rPr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99" w:hanging="61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961" w:hanging="615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4741" w:hanging="615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5522" w:hanging="615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6303" w:hanging="615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7083" w:hanging="615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864" w:hanging="615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645" w:hanging="615"/>
      </w:pPr>
      <w:rPr>
        <w:lang w:val="en-US" w:eastAsia="en-US" w:bidi="ar-SA"/>
      </w:rPr>
    </w:lvl>
  </w:abstractNum>
  <w:abstractNum w:abstractNumId="27" w15:restartNumberingAfterBreak="0">
    <w:nsid w:val="7A310056"/>
    <w:multiLevelType w:val="hybridMultilevel"/>
    <w:tmpl w:val="44A2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462062">
    <w:abstractNumId w:val="2"/>
  </w:num>
  <w:num w:numId="2" w16cid:durableId="1569338859">
    <w:abstractNumId w:val="1"/>
  </w:num>
  <w:num w:numId="3" w16cid:durableId="1721972753">
    <w:abstractNumId w:val="4"/>
  </w:num>
  <w:num w:numId="4" w16cid:durableId="361057903">
    <w:abstractNumId w:val="12"/>
  </w:num>
  <w:num w:numId="5" w16cid:durableId="852770097">
    <w:abstractNumId w:val="5"/>
  </w:num>
  <w:num w:numId="6" w16cid:durableId="1415397001">
    <w:abstractNumId w:val="27"/>
  </w:num>
  <w:num w:numId="7" w16cid:durableId="1403989428">
    <w:abstractNumId w:val="10"/>
  </w:num>
  <w:num w:numId="8" w16cid:durableId="2085907186">
    <w:abstractNumId w:val="9"/>
  </w:num>
  <w:num w:numId="9" w16cid:durableId="76558773">
    <w:abstractNumId w:val="18"/>
  </w:num>
  <w:num w:numId="10" w16cid:durableId="595867444">
    <w:abstractNumId w:val="24"/>
  </w:num>
  <w:num w:numId="11" w16cid:durableId="98910830">
    <w:abstractNumId w:val="13"/>
  </w:num>
  <w:num w:numId="12" w16cid:durableId="986015454">
    <w:abstractNumId w:val="11"/>
  </w:num>
  <w:num w:numId="13" w16cid:durableId="19748316">
    <w:abstractNumId w:val="21"/>
  </w:num>
  <w:num w:numId="14" w16cid:durableId="2003581258">
    <w:abstractNumId w:val="6"/>
  </w:num>
  <w:num w:numId="15" w16cid:durableId="2036808324">
    <w:abstractNumId w:val="14"/>
  </w:num>
  <w:num w:numId="16" w16cid:durableId="2110659269">
    <w:abstractNumId w:val="25"/>
  </w:num>
  <w:num w:numId="17" w16cid:durableId="2135826540">
    <w:abstractNumId w:val="16"/>
  </w:num>
  <w:num w:numId="18" w16cid:durableId="1019426229">
    <w:abstractNumId w:val="8"/>
  </w:num>
  <w:num w:numId="19" w16cid:durableId="177073557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594127717">
    <w:abstractNumId w:val="20"/>
  </w:num>
  <w:num w:numId="21" w16cid:durableId="2061124249">
    <w:abstractNumId w:val="26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279143069">
    <w:abstractNumId w:val="23"/>
  </w:num>
  <w:num w:numId="23" w16cid:durableId="145752435">
    <w:abstractNumId w:val="17"/>
  </w:num>
  <w:num w:numId="24" w16cid:durableId="1939487551">
    <w:abstractNumId w:val="7"/>
  </w:num>
  <w:num w:numId="25" w16cid:durableId="1231845770">
    <w:abstractNumId w:val="22"/>
  </w:num>
  <w:num w:numId="26" w16cid:durableId="358973003">
    <w:abstractNumId w:val="15"/>
  </w:num>
  <w:num w:numId="27" w16cid:durableId="1845779744">
    <w:abstractNumId w:val="19"/>
  </w:num>
  <w:num w:numId="28" w16cid:durableId="11017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21"/>
    <w:rsid w:val="0008418E"/>
    <w:rsid w:val="000F376A"/>
    <w:rsid w:val="00105A66"/>
    <w:rsid w:val="002E55F2"/>
    <w:rsid w:val="003473BD"/>
    <w:rsid w:val="003A456F"/>
    <w:rsid w:val="003C2C43"/>
    <w:rsid w:val="00415F62"/>
    <w:rsid w:val="00423295"/>
    <w:rsid w:val="00657B3E"/>
    <w:rsid w:val="00674B0E"/>
    <w:rsid w:val="006E24C4"/>
    <w:rsid w:val="007273BA"/>
    <w:rsid w:val="00746B74"/>
    <w:rsid w:val="008B71DA"/>
    <w:rsid w:val="008D26F5"/>
    <w:rsid w:val="00975EC3"/>
    <w:rsid w:val="009D55CF"/>
    <w:rsid w:val="00A95621"/>
    <w:rsid w:val="00AD3EB6"/>
    <w:rsid w:val="00BC6807"/>
    <w:rsid w:val="00C4380C"/>
    <w:rsid w:val="00DC6842"/>
    <w:rsid w:val="00DE3529"/>
    <w:rsid w:val="00FB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9D209"/>
  <w15:chartTrackingRefBased/>
  <w15:docId w15:val="{D975BEED-ADF6-4CB0-AB0F-B83B193A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B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A95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rsid w:val="00A9562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3B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4B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B0E"/>
  </w:style>
  <w:style w:type="paragraph" w:styleId="Footer">
    <w:name w:val="footer"/>
    <w:basedOn w:val="Normal"/>
    <w:link w:val="FooterChar"/>
    <w:uiPriority w:val="99"/>
    <w:unhideWhenUsed/>
    <w:rsid w:val="00674B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B0E"/>
  </w:style>
  <w:style w:type="paragraph" w:styleId="ListParagraph">
    <w:name w:val="List Paragraph"/>
    <w:basedOn w:val="Normal"/>
    <w:uiPriority w:val="1"/>
    <w:qFormat/>
    <w:rsid w:val="00674B0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74B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4B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4B0E"/>
    <w:rPr>
      <w:vertAlign w:val="superscript"/>
    </w:rPr>
  </w:style>
  <w:style w:type="table" w:styleId="TableGrid">
    <w:name w:val="Table Grid"/>
    <w:basedOn w:val="TableNormal"/>
    <w:uiPriority w:val="39"/>
    <w:rsid w:val="003C2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1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Hilton</dc:creator>
  <cp:keywords/>
  <dc:description/>
  <cp:lastModifiedBy>Heybridge Basin Parish Council</cp:lastModifiedBy>
  <cp:revision>4</cp:revision>
  <dcterms:created xsi:type="dcterms:W3CDTF">2024-05-07T11:02:00Z</dcterms:created>
  <dcterms:modified xsi:type="dcterms:W3CDTF">2024-07-09T13:03:00Z</dcterms:modified>
</cp:coreProperties>
</file>